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B80240" w14:textId="783B3C05" w:rsidR="00F76C82" w:rsidRDefault="001F4BB2" w:rsidP="00F76C82">
      <w:pPr>
        <w:jc w:val="center"/>
        <w:rPr>
          <w:b/>
          <w:bCs/>
          <w:sz w:val="40"/>
          <w:szCs w:val="40"/>
        </w:rPr>
      </w:pPr>
      <w:r>
        <w:rPr>
          <w:b/>
          <w:bCs/>
          <w:sz w:val="40"/>
          <w:szCs w:val="40"/>
        </w:rPr>
        <w:t>Contamination Detection for Time-Series Models under Continual Learning</w:t>
      </w:r>
    </w:p>
    <w:p w14:paraId="145703D1" w14:textId="165C8379" w:rsidR="001F4BB2" w:rsidRPr="001F4BB2" w:rsidRDefault="001F4BB2" w:rsidP="001F4BB2">
      <w:pPr>
        <w:rPr>
          <w:sz w:val="40"/>
          <w:szCs w:val="40"/>
        </w:rPr>
      </w:pPr>
      <w:r w:rsidRPr="001F4BB2">
        <w:rPr>
          <w:sz w:val="40"/>
          <w:szCs w:val="40"/>
        </w:rPr>
        <w:t>Motivation</w:t>
      </w:r>
    </w:p>
    <w:p w14:paraId="19B33161" w14:textId="4067C80E" w:rsidR="00F46815" w:rsidRDefault="001F4BB2" w:rsidP="001F4BB2">
      <w:r w:rsidRPr="00F76C82">
        <w:t>Benchmark contamination happens when evaluation data leaks into the training. When this happens the reported model capabilities are inflated because of memorization rather than generalization.</w:t>
      </w:r>
      <w:r w:rsidR="00087985" w:rsidRPr="00087985">
        <w:rPr>
          <w:noProof/>
          <w:sz w:val="28"/>
          <w:szCs w:val="28"/>
        </w:rPr>
        <w:t xml:space="preserve"> </w:t>
      </w:r>
      <w:r w:rsidR="00087985" w:rsidRPr="00087985">
        <w:rPr>
          <w:noProof/>
          <w:sz w:val="28"/>
          <w:szCs w:val="28"/>
        </w:rPr>
        <w:drawing>
          <wp:inline distT="0" distB="0" distL="0" distR="0" wp14:anchorId="2D178F74" wp14:editId="28D10EA0">
            <wp:extent cx="5943600" cy="1706880"/>
            <wp:effectExtent l="0" t="0" r="0" b="0"/>
            <wp:docPr id="134766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6924" name=""/>
                    <pic:cNvPicPr/>
                  </pic:nvPicPr>
                  <pic:blipFill>
                    <a:blip r:embed="rId5"/>
                    <a:stretch>
                      <a:fillRect/>
                    </a:stretch>
                  </pic:blipFill>
                  <pic:spPr>
                    <a:xfrm>
                      <a:off x="0" y="0"/>
                      <a:ext cx="5943600" cy="1706880"/>
                    </a:xfrm>
                    <a:prstGeom prst="rect">
                      <a:avLst/>
                    </a:prstGeom>
                  </pic:spPr>
                </pic:pic>
              </a:graphicData>
            </a:graphic>
          </wp:inline>
        </w:drawing>
      </w:r>
    </w:p>
    <w:p w14:paraId="10F9C955" w14:textId="6D25915A" w:rsidR="006918A5" w:rsidRPr="00F76C82" w:rsidRDefault="00804C5E" w:rsidP="001F4BB2">
      <w:r>
        <w:t xml:space="preserve">Contamination isn’t limited to benchmark </w:t>
      </w:r>
      <w:proofErr w:type="gramStart"/>
      <w:r>
        <w:t>leaks,</w:t>
      </w:r>
      <w:proofErr w:type="gramEnd"/>
      <w:r>
        <w:t xml:space="preserve"> it can also mean a user’s own data being used to train a model without their knowledge. This motivates a contamination detector that can run locally. A user could test whether any of their own data was used </w:t>
      </w:r>
      <w:r w:rsidR="00435B0E">
        <w:t xml:space="preserve">to train the </w:t>
      </w:r>
      <w:r>
        <w:t>model. C</w:t>
      </w:r>
      <w:r w:rsidR="0056505F">
        <w:t xml:space="preserve">ontamination during CL can happen due to errors in the CL pipeline like missed bugs or missing logic independent of the original pretraining stage. </w:t>
      </w:r>
    </w:p>
    <w:p w14:paraId="280F576C" w14:textId="30DFB161" w:rsidR="001F4BB2" w:rsidRDefault="001F4BB2" w:rsidP="001F4BB2">
      <w:pPr>
        <w:pStyle w:val="ListParagraph"/>
        <w:numPr>
          <w:ilvl w:val="0"/>
          <w:numId w:val="1"/>
        </w:numPr>
        <w:rPr>
          <w:sz w:val="40"/>
          <w:szCs w:val="40"/>
        </w:rPr>
      </w:pPr>
      <w:r>
        <w:rPr>
          <w:sz w:val="40"/>
          <w:szCs w:val="40"/>
        </w:rPr>
        <w:t xml:space="preserve">Adapting </w:t>
      </w:r>
      <w:proofErr w:type="spellStart"/>
      <w:r>
        <w:rPr>
          <w:sz w:val="40"/>
          <w:szCs w:val="40"/>
        </w:rPr>
        <w:t>CoDec</w:t>
      </w:r>
      <w:proofErr w:type="spellEnd"/>
      <w:r>
        <w:rPr>
          <w:sz w:val="40"/>
          <w:szCs w:val="40"/>
        </w:rPr>
        <w:t xml:space="preserve"> to time-series models</w:t>
      </w:r>
    </w:p>
    <w:p w14:paraId="0E2AF9AF" w14:textId="04CA02F0" w:rsidR="001F4BB2" w:rsidRPr="006918A5" w:rsidRDefault="00F76C82" w:rsidP="001F4BB2">
      <w:proofErr w:type="spellStart"/>
      <w:r w:rsidRPr="00F76C82">
        <w:t>CoDec</w:t>
      </w:r>
      <w:proofErr w:type="spellEnd"/>
      <w:r w:rsidRPr="00F76C82">
        <w:t xml:space="preserve"> is a very reliable contamination detection </w:t>
      </w:r>
      <w:r w:rsidR="00220C27" w:rsidRPr="00F76C82">
        <w:t>method but</w:t>
      </w:r>
      <w:r w:rsidRPr="00F76C82">
        <w:t xml:space="preserve"> only used for text-based models. </w:t>
      </w:r>
      <w:r w:rsidR="00220C27">
        <w:t xml:space="preserve">Until now it hasn’t been applied to time-series models. Since TSLM predict continuous values rather than discrete tokens, </w:t>
      </w:r>
      <w:proofErr w:type="spellStart"/>
      <w:r w:rsidR="00220C27">
        <w:t>CoDec</w:t>
      </w:r>
      <w:proofErr w:type="spellEnd"/>
      <w:r w:rsidR="00220C27">
        <w:t xml:space="preserve"> needs to be adapted to this architecture. </w:t>
      </w:r>
      <w:r w:rsidRPr="00F76C82">
        <w:t xml:space="preserve"> </w:t>
      </w:r>
    </w:p>
    <w:p w14:paraId="6D60AD33" w14:textId="4B3CE19B" w:rsidR="00F76C82" w:rsidRPr="006918A5" w:rsidRDefault="00F76C82" w:rsidP="001F4BB2">
      <w:r w:rsidRPr="00F76C82">
        <w:t xml:space="preserve">In the image shown, we present a </w:t>
      </w:r>
      <w:r w:rsidR="00220C27">
        <w:t>simplified</w:t>
      </w:r>
      <w:r w:rsidRPr="00F76C82">
        <w:t xml:space="preserve"> showcase of </w:t>
      </w:r>
      <w:proofErr w:type="spellStart"/>
      <w:r w:rsidRPr="00F76C82">
        <w:t>CoDec</w:t>
      </w:r>
      <w:proofErr w:type="spellEnd"/>
      <w:r w:rsidR="00220C27">
        <w:t xml:space="preserve"> on</w:t>
      </w:r>
      <w:r w:rsidRPr="00F76C82">
        <w:t xml:space="preserve"> a pretrained GPT-2 fine-tuned on </w:t>
      </w:r>
      <w:r w:rsidR="00220C27">
        <w:t>target</w:t>
      </w:r>
      <w:r w:rsidRPr="00F76C82">
        <w:t xml:space="preserve"> passages. </w:t>
      </w:r>
      <w:r w:rsidR="00C3641E">
        <w:t xml:space="preserve">The point of this demo is to be a small proxy to confirm the workings of </w:t>
      </w:r>
      <w:proofErr w:type="spellStart"/>
      <w:r w:rsidR="00C3641E">
        <w:t>CoDec</w:t>
      </w:r>
      <w:proofErr w:type="spellEnd"/>
      <w:r w:rsidR="00C3641E">
        <w:t xml:space="preserve"> before attempting the harder numeric adaptation</w:t>
      </w:r>
      <w:r w:rsidR="00633999">
        <w:t>.</w:t>
      </w:r>
    </w:p>
    <w:p w14:paraId="5ACD6AAE" w14:textId="79A7D3C4" w:rsidR="006918A5" w:rsidRDefault="006918A5" w:rsidP="001F4BB2">
      <w:r w:rsidRPr="00F76C82">
        <w:rPr>
          <w:sz w:val="28"/>
          <w:szCs w:val="28"/>
        </w:rPr>
        <w:drawing>
          <wp:anchor distT="0" distB="0" distL="114300" distR="114300" simplePos="0" relativeHeight="251658240" behindDoc="1" locked="0" layoutInCell="1" allowOverlap="1" wp14:anchorId="4C946265" wp14:editId="2644F69B">
            <wp:simplePos x="0" y="0"/>
            <wp:positionH relativeFrom="column">
              <wp:posOffset>524138</wp:posOffset>
            </wp:positionH>
            <wp:positionV relativeFrom="paragraph">
              <wp:posOffset>282904</wp:posOffset>
            </wp:positionV>
            <wp:extent cx="5358765" cy="1907540"/>
            <wp:effectExtent l="0" t="0" r="635" b="0"/>
            <wp:wrapTopAndBottom/>
            <wp:docPr id="1482468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68282"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58765" cy="1907540"/>
                    </a:xfrm>
                    <a:prstGeom prst="rect">
                      <a:avLst/>
                    </a:prstGeom>
                  </pic:spPr>
                </pic:pic>
              </a:graphicData>
            </a:graphic>
            <wp14:sizeRelH relativeFrom="page">
              <wp14:pctWidth>0</wp14:pctWidth>
            </wp14:sizeRelH>
            <wp14:sizeRelV relativeFrom="page">
              <wp14:pctHeight>0</wp14:pctHeight>
            </wp14:sizeRelV>
          </wp:anchor>
        </w:drawing>
      </w:r>
    </w:p>
    <w:p w14:paraId="477DF350" w14:textId="70BD625D" w:rsidR="006918A5" w:rsidRDefault="006918A5" w:rsidP="001F4BB2"/>
    <w:p w14:paraId="2D3874E4" w14:textId="77777777" w:rsidR="00156213" w:rsidRDefault="00156213" w:rsidP="001F4BB2"/>
    <w:p w14:paraId="2FB60636" w14:textId="77777777" w:rsidR="00156213" w:rsidRDefault="00156213" w:rsidP="001F4BB2"/>
    <w:p w14:paraId="15803488" w14:textId="02CEADF2" w:rsidR="006918A5" w:rsidRDefault="00F76C82" w:rsidP="001F4BB2">
      <w:r w:rsidRPr="00F76C82">
        <w:t xml:space="preserve">This is a similar example, </w:t>
      </w:r>
      <w:r w:rsidR="00C3641E">
        <w:t xml:space="preserve">but here an initial adaptation was made to use </w:t>
      </w:r>
      <w:proofErr w:type="spellStart"/>
      <w:r w:rsidR="00C3641E">
        <w:t>TinyTS</w:t>
      </w:r>
      <w:proofErr w:type="spellEnd"/>
      <w:r w:rsidR="00C3641E">
        <w:t xml:space="preserve">, showing an early proof of concept that </w:t>
      </w:r>
      <w:proofErr w:type="spellStart"/>
      <w:r w:rsidR="00C3641E">
        <w:t>CoDec</w:t>
      </w:r>
      <w:proofErr w:type="spellEnd"/>
      <w:r w:rsidR="00C3641E">
        <w:t xml:space="preserve"> can be adapted. Notic</w:t>
      </w:r>
      <w:r w:rsidR="002E3978">
        <w:t>e</w:t>
      </w:r>
      <w:r w:rsidR="00C3641E">
        <w:t xml:space="preserve"> that the contaminated </w:t>
      </w:r>
      <w:proofErr w:type="spellStart"/>
      <w:r w:rsidR="00C3641E">
        <w:t>CoDec</w:t>
      </w:r>
      <w:proofErr w:type="spellEnd"/>
      <w:r w:rsidR="00C3641E">
        <w:t xml:space="preserve"> score becomes high after fine-tuning on the target dataset. </w:t>
      </w:r>
    </w:p>
    <w:p w14:paraId="753EBAA3" w14:textId="4DF3BC15" w:rsidR="006918A5" w:rsidRDefault="00156213" w:rsidP="001F4BB2">
      <w:r w:rsidRPr="00F76C82">
        <w:rPr>
          <w:sz w:val="28"/>
          <w:szCs w:val="28"/>
        </w:rPr>
        <w:drawing>
          <wp:anchor distT="0" distB="0" distL="114300" distR="114300" simplePos="0" relativeHeight="251662336" behindDoc="0" locked="0" layoutInCell="1" allowOverlap="1" wp14:anchorId="7CDEF1CE" wp14:editId="1363A19D">
            <wp:simplePos x="0" y="0"/>
            <wp:positionH relativeFrom="column">
              <wp:posOffset>588010</wp:posOffset>
            </wp:positionH>
            <wp:positionV relativeFrom="paragraph">
              <wp:posOffset>441416</wp:posOffset>
            </wp:positionV>
            <wp:extent cx="5046980" cy="1797050"/>
            <wp:effectExtent l="0" t="0" r="0" b="6350"/>
            <wp:wrapTopAndBottom/>
            <wp:docPr id="186165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65275"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6980" cy="1797050"/>
                    </a:xfrm>
                    <a:prstGeom prst="rect">
                      <a:avLst/>
                    </a:prstGeom>
                  </pic:spPr>
                </pic:pic>
              </a:graphicData>
            </a:graphic>
            <wp14:sizeRelH relativeFrom="page">
              <wp14:pctWidth>0</wp14:pctWidth>
            </wp14:sizeRelH>
            <wp14:sizeRelV relativeFrom="page">
              <wp14:pctHeight>0</wp14:pctHeight>
            </wp14:sizeRelV>
          </wp:anchor>
        </w:drawing>
      </w:r>
    </w:p>
    <w:p w14:paraId="4104DBDF" w14:textId="58CA82FC" w:rsidR="006918A5" w:rsidRDefault="006918A5" w:rsidP="001F4BB2"/>
    <w:p w14:paraId="6F347FAF" w14:textId="77777777" w:rsidR="006918A5" w:rsidRPr="00F76C82" w:rsidRDefault="006918A5" w:rsidP="001F4BB2"/>
    <w:p w14:paraId="629137F9" w14:textId="00F417A3" w:rsidR="00F76C82" w:rsidRDefault="00F76C82" w:rsidP="00F76C82">
      <w:pPr>
        <w:pStyle w:val="ListParagraph"/>
        <w:numPr>
          <w:ilvl w:val="0"/>
          <w:numId w:val="1"/>
        </w:numPr>
        <w:rPr>
          <w:sz w:val="40"/>
          <w:szCs w:val="40"/>
        </w:rPr>
      </w:pPr>
      <w:r>
        <w:rPr>
          <w:sz w:val="40"/>
          <w:szCs w:val="40"/>
        </w:rPr>
        <w:t>Does the signal survive continual learning?</w:t>
      </w:r>
    </w:p>
    <w:p w14:paraId="5F553771" w14:textId="3BBCD2B2" w:rsidR="00F76C82" w:rsidRDefault="00F76C82" w:rsidP="00F76C82">
      <w:r>
        <w:t xml:space="preserve">Here we want to understand what happens to the signal </w:t>
      </w:r>
      <w:proofErr w:type="spellStart"/>
      <w:r>
        <w:t>CoDec</w:t>
      </w:r>
      <w:proofErr w:type="spellEnd"/>
      <w:r>
        <w:t xml:space="preserve"> provides across successive CL cycles following contamination. </w:t>
      </w:r>
      <w:r w:rsidR="00C3641E">
        <w:t>Either the signal stays consistent across cycles, or it degrades. If it degrades, we study the resulting reliability window: the number of CL cycles within which a leak remains detectable. A model updated many times since a suspected leak may report “clean” simply because the ch</w:t>
      </w:r>
      <w:r w:rsidR="002E3978">
        <w:t>e</w:t>
      </w:r>
      <w:r w:rsidR="00C3641E">
        <w:t>ck has gone stale, not because the lea</w:t>
      </w:r>
      <w:r w:rsidR="006918A5">
        <w:t xml:space="preserve">k </w:t>
      </w:r>
      <w:r w:rsidR="00C3641E">
        <w:t>never happened.</w:t>
      </w:r>
      <w:r w:rsidR="00807716" w:rsidRPr="00807716">
        <w:rPr>
          <w:noProof/>
        </w:rPr>
        <w:t xml:space="preserve"> </w:t>
      </w:r>
    </w:p>
    <w:p w14:paraId="784945C8" w14:textId="55EBBC6C" w:rsidR="00156213" w:rsidRDefault="00156213" w:rsidP="00156213">
      <w:r w:rsidRPr="00087985">
        <w:drawing>
          <wp:anchor distT="0" distB="0" distL="114300" distR="114300" simplePos="0" relativeHeight="251659264" behindDoc="0" locked="0" layoutInCell="1" allowOverlap="1" wp14:anchorId="48EA32B4" wp14:editId="72830D51">
            <wp:simplePos x="0" y="0"/>
            <wp:positionH relativeFrom="column">
              <wp:posOffset>221615</wp:posOffset>
            </wp:positionH>
            <wp:positionV relativeFrom="paragraph">
              <wp:posOffset>189230</wp:posOffset>
            </wp:positionV>
            <wp:extent cx="5943600" cy="2088515"/>
            <wp:effectExtent l="0" t="0" r="0" b="0"/>
            <wp:wrapTopAndBottom/>
            <wp:docPr id="2039803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0325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088515"/>
                    </a:xfrm>
                    <a:prstGeom prst="rect">
                      <a:avLst/>
                    </a:prstGeom>
                  </pic:spPr>
                </pic:pic>
              </a:graphicData>
            </a:graphic>
            <wp14:sizeRelH relativeFrom="page">
              <wp14:pctWidth>0</wp14:pctWidth>
            </wp14:sizeRelH>
            <wp14:sizeRelV relativeFrom="page">
              <wp14:pctHeight>0</wp14:pctHeight>
            </wp14:sizeRelV>
          </wp:anchor>
        </w:drawing>
      </w:r>
      <w:r w:rsidR="00D21668" w:rsidRPr="00D21668">
        <w:t xml:space="preserve"> </w:t>
      </w:r>
      <w:r w:rsidR="00F46815" w:rsidRPr="00F46815">
        <w:rPr>
          <w:noProof/>
        </w:rPr>
        <w:t xml:space="preserve"> </w:t>
      </w:r>
      <w:r w:rsidR="00D21668" w:rsidRPr="00D21668">
        <w:t xml:space="preserve"> </w:t>
      </w:r>
    </w:p>
    <w:p w14:paraId="5FD585DF" w14:textId="77777777" w:rsidR="00156213" w:rsidRDefault="00156213" w:rsidP="00156213"/>
    <w:p w14:paraId="7AE40493" w14:textId="77777777" w:rsidR="00156213" w:rsidRDefault="00156213" w:rsidP="00156213"/>
    <w:p w14:paraId="767042AE" w14:textId="77777777" w:rsidR="00156213" w:rsidRDefault="00156213" w:rsidP="00156213"/>
    <w:p w14:paraId="61CD8F60" w14:textId="77777777" w:rsidR="00156213" w:rsidRDefault="00156213" w:rsidP="00156213"/>
    <w:p w14:paraId="0872A477" w14:textId="77777777" w:rsidR="00156213" w:rsidRDefault="00156213" w:rsidP="00156213"/>
    <w:p w14:paraId="5BE09415" w14:textId="4FA85932" w:rsidR="00156213" w:rsidRDefault="00156213" w:rsidP="00156213">
      <w:r>
        <w:t xml:space="preserve">Figures 4a and 4b test this empirically across two domains. Each has two panels: the left traces the </w:t>
      </w:r>
      <w:proofErr w:type="spellStart"/>
      <w:r>
        <w:t>CoDec</w:t>
      </w:r>
      <w:proofErr w:type="spellEnd"/>
      <w:r>
        <w:t xml:space="preserve"> score across checkpoints for the contaminated model (orange) and a matched control trained identically but on unrelated content (grey); the right shows the LMC barrier at the same steps. </w:t>
      </w:r>
      <w:proofErr w:type="spellStart"/>
      <w:r>
        <w:t>CoDec</w:t>
      </w:r>
      <w:proofErr w:type="spellEnd"/>
      <w:r>
        <w:t xml:space="preserve"> can no longer distinguish a contaminated model from a clean one.</w:t>
      </w:r>
    </w:p>
    <w:p w14:paraId="519DC51E" w14:textId="1216011F" w:rsidR="00156213" w:rsidRDefault="00156213" w:rsidP="00156213"/>
    <w:p w14:paraId="1BA1290E" w14:textId="1B1D097F" w:rsidR="00F46815" w:rsidRPr="00F76C82" w:rsidRDefault="00156213" w:rsidP="00156213">
      <w:r w:rsidRPr="00D21668">
        <w:drawing>
          <wp:anchor distT="0" distB="0" distL="114300" distR="114300" simplePos="0" relativeHeight="251660288" behindDoc="0" locked="0" layoutInCell="1" allowOverlap="1" wp14:anchorId="44EA6AE7" wp14:editId="205FA864">
            <wp:simplePos x="0" y="0"/>
            <wp:positionH relativeFrom="column">
              <wp:posOffset>146598</wp:posOffset>
            </wp:positionH>
            <wp:positionV relativeFrom="paragraph">
              <wp:posOffset>882847</wp:posOffset>
            </wp:positionV>
            <wp:extent cx="5943600" cy="2124075"/>
            <wp:effectExtent l="0" t="0" r="0" b="0"/>
            <wp:wrapTopAndBottom/>
            <wp:docPr id="2099589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58961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124075"/>
                    </a:xfrm>
                    <a:prstGeom prst="rect">
                      <a:avLst/>
                    </a:prstGeom>
                  </pic:spPr>
                </pic:pic>
              </a:graphicData>
            </a:graphic>
            <wp14:sizeRelH relativeFrom="page">
              <wp14:pctWidth>0</wp14:pctWidth>
            </wp14:sizeRelH>
            <wp14:sizeRelV relativeFrom="page">
              <wp14:pctHeight>0</wp14:pctHeight>
            </wp14:sizeRelV>
          </wp:anchor>
        </w:drawing>
      </w:r>
      <w:r>
        <w:t>Figure 4a (GPT-2 proxy) shows the gap close by steps 3–4. Figure 4b (</w:t>
      </w:r>
      <w:proofErr w:type="spellStart"/>
      <w:r>
        <w:t>CoDec</w:t>
      </w:r>
      <w:proofErr w:type="spellEnd"/>
      <w:r>
        <w:t xml:space="preserve">-TS on ETTh1) shows the same collapse more sharply (initial training randomly had a high </w:t>
      </w:r>
      <w:proofErr w:type="spellStart"/>
      <w:r>
        <w:t>CoDec</w:t>
      </w:r>
      <w:proofErr w:type="spellEnd"/>
      <w:r>
        <w:t xml:space="preserve"> score). At that point, </w:t>
      </w:r>
      <w:proofErr w:type="spellStart"/>
      <w:r>
        <w:t>CoDec's</w:t>
      </w:r>
      <w:proofErr w:type="spellEnd"/>
      <w:r>
        <w:t xml:space="preserve"> answer is effectively the same whether contamination happened or not.</w:t>
      </w:r>
    </w:p>
    <w:p w14:paraId="4003367F" w14:textId="44021119" w:rsidR="00F76C82" w:rsidRDefault="00156213" w:rsidP="00F76C82">
      <w:pPr>
        <w:rPr>
          <w:sz w:val="40"/>
          <w:szCs w:val="40"/>
        </w:rPr>
      </w:pPr>
      <w:r w:rsidRPr="00D21668">
        <w:drawing>
          <wp:anchor distT="0" distB="0" distL="114300" distR="114300" simplePos="0" relativeHeight="251661312" behindDoc="0" locked="0" layoutInCell="1" allowOverlap="1" wp14:anchorId="4AD59375" wp14:editId="39E786EB">
            <wp:simplePos x="0" y="0"/>
            <wp:positionH relativeFrom="column">
              <wp:posOffset>231140</wp:posOffset>
            </wp:positionH>
            <wp:positionV relativeFrom="paragraph">
              <wp:posOffset>2699476</wp:posOffset>
            </wp:positionV>
            <wp:extent cx="5943600" cy="2124075"/>
            <wp:effectExtent l="0" t="0" r="0" b="0"/>
            <wp:wrapTopAndBottom/>
            <wp:docPr id="2092203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033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124075"/>
                    </a:xfrm>
                    <a:prstGeom prst="rect">
                      <a:avLst/>
                    </a:prstGeom>
                  </pic:spPr>
                </pic:pic>
              </a:graphicData>
            </a:graphic>
            <wp14:sizeRelH relativeFrom="page">
              <wp14:pctWidth>0</wp14:pctWidth>
            </wp14:sizeRelH>
            <wp14:sizeRelV relativeFrom="page">
              <wp14:pctHeight>0</wp14:pctHeight>
            </wp14:sizeRelV>
          </wp:anchor>
        </w:drawing>
      </w:r>
    </w:p>
    <w:p w14:paraId="02AE417D" w14:textId="5BC1DF2F" w:rsidR="00156213" w:rsidRDefault="00156213" w:rsidP="00F76C82">
      <w:pPr>
        <w:rPr>
          <w:sz w:val="40"/>
          <w:szCs w:val="40"/>
        </w:rPr>
      </w:pPr>
    </w:p>
    <w:p w14:paraId="7E9AC639" w14:textId="4DD2222D" w:rsidR="00156213" w:rsidRDefault="00156213" w:rsidP="00F76C82">
      <w:pPr>
        <w:rPr>
          <w:sz w:val="40"/>
          <w:szCs w:val="40"/>
        </w:rPr>
      </w:pPr>
    </w:p>
    <w:p w14:paraId="4BA620AD" w14:textId="77777777" w:rsidR="00156213" w:rsidRDefault="00156213" w:rsidP="00F76C82">
      <w:pPr>
        <w:rPr>
          <w:sz w:val="40"/>
          <w:szCs w:val="40"/>
        </w:rPr>
      </w:pPr>
    </w:p>
    <w:p w14:paraId="32212A2B" w14:textId="7F1A1A8E" w:rsidR="001F4BB2" w:rsidRDefault="001F4BB2" w:rsidP="00156213">
      <w:pPr>
        <w:rPr>
          <w:sz w:val="40"/>
          <w:szCs w:val="40"/>
        </w:rPr>
      </w:pPr>
    </w:p>
    <w:p w14:paraId="408F0F0E" w14:textId="77777777" w:rsidR="00156213" w:rsidRPr="001F4BB2" w:rsidRDefault="00156213" w:rsidP="00156213">
      <w:pPr>
        <w:rPr>
          <w:sz w:val="28"/>
          <w:szCs w:val="28"/>
        </w:rPr>
      </w:pPr>
    </w:p>
    <w:p w14:paraId="6CEAD9DA" w14:textId="5BF669F9" w:rsidR="001F4BB2" w:rsidRDefault="00585A6A" w:rsidP="00585A6A">
      <w:pPr>
        <w:pStyle w:val="ListParagraph"/>
        <w:numPr>
          <w:ilvl w:val="0"/>
          <w:numId w:val="1"/>
        </w:numPr>
        <w:rPr>
          <w:sz w:val="40"/>
          <w:szCs w:val="40"/>
        </w:rPr>
      </w:pPr>
      <w:r>
        <w:rPr>
          <w:sz w:val="40"/>
          <w:szCs w:val="40"/>
        </w:rPr>
        <w:t>Side note: does LMC extend the window?</w:t>
      </w:r>
    </w:p>
    <w:p w14:paraId="242A76E8" w14:textId="77777777" w:rsidR="00C3641E" w:rsidRDefault="00585A6A" w:rsidP="00C3641E">
      <w:r>
        <w:t>As an exploratory, secondary t</w:t>
      </w:r>
      <w:r w:rsidR="00C3641E">
        <w:t>ask,</w:t>
      </w:r>
      <w:r>
        <w:t xml:space="preserve"> we test whether Linear Mode Connectivity (LMC) stays informative </w:t>
      </w:r>
      <w:r w:rsidR="00C3641E">
        <w:t>once</w:t>
      </w:r>
      <w:r>
        <w:t xml:space="preserve"> </w:t>
      </w:r>
      <w:proofErr w:type="spellStart"/>
      <w:r>
        <w:t>CoDec</w:t>
      </w:r>
      <w:proofErr w:type="spellEnd"/>
      <w:r>
        <w:t>-TS</w:t>
      </w:r>
      <w:r w:rsidR="00C3641E">
        <w:t xml:space="preserve"> can no longer discriminate</w:t>
      </w:r>
      <w:r>
        <w:t>.</w:t>
      </w:r>
      <w:r w:rsidR="00C3641E">
        <w:t xml:space="preserve"> Unlike </w:t>
      </w:r>
      <w:proofErr w:type="spellStart"/>
      <w:r w:rsidR="00C3641E">
        <w:t>CoDec</w:t>
      </w:r>
      <w:proofErr w:type="spellEnd"/>
      <w:r w:rsidR="00C3641E">
        <w:t>, LMC requires at least two saved checkpoints to compare.</w:t>
      </w:r>
    </w:p>
    <w:p w14:paraId="2B5C9498" w14:textId="15623271" w:rsidR="00585A6A" w:rsidRDefault="00C3641E" w:rsidP="00C3641E">
      <w:r>
        <w:t xml:space="preserve">By the third CL cycle in our numeric experiment, </w:t>
      </w:r>
      <w:proofErr w:type="spellStart"/>
      <w:r>
        <w:t>CoDec’s</w:t>
      </w:r>
      <w:proofErr w:type="spellEnd"/>
      <w:r>
        <w:t xml:space="preserve"> score cannot distinguish between contaminated and control while LMC at the same point separates them (0.4 vs 0.1). This separation also stays during the fourth cycle. This small experiment may suggest that LMC extends the window past what </w:t>
      </w:r>
      <w:proofErr w:type="spellStart"/>
      <w:r>
        <w:t>CoDec</w:t>
      </w:r>
      <w:proofErr w:type="spellEnd"/>
      <w:r>
        <w:t xml:space="preserve"> offers. </w:t>
      </w:r>
      <w:r w:rsidR="00585A6A">
        <w:t xml:space="preserve"> </w:t>
      </w:r>
    </w:p>
    <w:p w14:paraId="1B369FDB" w14:textId="77777777" w:rsidR="00156213" w:rsidRPr="00D21668" w:rsidRDefault="00156213" w:rsidP="00C3641E"/>
    <w:p w14:paraId="66E99880" w14:textId="456BCBE6" w:rsidR="00585A6A" w:rsidRDefault="00585A6A" w:rsidP="00585A6A">
      <w:pPr>
        <w:rPr>
          <w:sz w:val="40"/>
          <w:szCs w:val="40"/>
        </w:rPr>
      </w:pPr>
      <w:r>
        <w:rPr>
          <w:sz w:val="40"/>
          <w:szCs w:val="40"/>
        </w:rPr>
        <w:t>Scope</w:t>
      </w:r>
    </w:p>
    <w:p w14:paraId="28F4EE6B" w14:textId="0CC3505D" w:rsidR="00C3641E" w:rsidRDefault="00C3641E" w:rsidP="00585A6A">
      <w:r>
        <w:t xml:space="preserve">All figures above come from proxy setups, a pretrained GPT-2 and a small local </w:t>
      </w:r>
      <w:proofErr w:type="spellStart"/>
      <w:r>
        <w:t>TinyTS</w:t>
      </w:r>
      <w:proofErr w:type="spellEnd"/>
      <w:r>
        <w:t xml:space="preserve"> both r</w:t>
      </w:r>
      <w:r w:rsidR="005B5D11">
        <w:t>u</w:t>
      </w:r>
      <w:r>
        <w:t xml:space="preserve">n under limited compute. This thesis will apply the same methodology to </w:t>
      </w:r>
      <w:proofErr w:type="spellStart"/>
      <w:r>
        <w:t>OpenTSLM</w:t>
      </w:r>
      <w:proofErr w:type="spellEnd"/>
      <w:r>
        <w:t xml:space="preserve">, the actual target model. Compute budget, choice of benchmark datasets, and the scale of experiments will be </w:t>
      </w:r>
      <w:r w:rsidR="005B5D11">
        <w:t>expanded to draw more robust conclusions</w:t>
      </w:r>
      <w:r>
        <w:t xml:space="preserve">. </w:t>
      </w:r>
    </w:p>
    <w:p w14:paraId="3375F424" w14:textId="77777777" w:rsidR="00156213" w:rsidRDefault="00156213" w:rsidP="00C3641E"/>
    <w:p w14:paraId="3CE7766A" w14:textId="3137599F" w:rsidR="00C3641E" w:rsidRDefault="00585A6A" w:rsidP="00C3641E">
      <w:pPr>
        <w:rPr>
          <w:sz w:val="40"/>
          <w:szCs w:val="40"/>
        </w:rPr>
      </w:pPr>
      <w:r>
        <w:t xml:space="preserve"> </w:t>
      </w:r>
      <w:r w:rsidR="00C3641E">
        <w:rPr>
          <w:sz w:val="40"/>
          <w:szCs w:val="40"/>
        </w:rPr>
        <w:t>Deliverables</w:t>
      </w:r>
    </w:p>
    <w:p w14:paraId="0D8E9BF6" w14:textId="06A8998E" w:rsidR="00585A6A" w:rsidRPr="00C3641E" w:rsidRDefault="00C3641E" w:rsidP="00C3641E">
      <w:pPr>
        <w:pStyle w:val="ListParagraph"/>
        <w:numPr>
          <w:ilvl w:val="0"/>
          <w:numId w:val="3"/>
        </w:numPr>
        <w:rPr>
          <w:sz w:val="40"/>
          <w:szCs w:val="40"/>
        </w:rPr>
      </w:pPr>
      <w:proofErr w:type="spellStart"/>
      <w:r>
        <w:t>CoDec</w:t>
      </w:r>
      <w:proofErr w:type="spellEnd"/>
      <w:r>
        <w:t>-TS implemented and validated</w:t>
      </w:r>
    </w:p>
    <w:p w14:paraId="1D74CF1C" w14:textId="3873CE01" w:rsidR="00C3641E" w:rsidRPr="00C3641E" w:rsidRDefault="00C3641E" w:rsidP="00C3641E">
      <w:pPr>
        <w:pStyle w:val="ListParagraph"/>
        <w:numPr>
          <w:ilvl w:val="0"/>
          <w:numId w:val="3"/>
        </w:numPr>
        <w:rPr>
          <w:sz w:val="40"/>
          <w:szCs w:val="40"/>
        </w:rPr>
      </w:pPr>
      <w:r>
        <w:t xml:space="preserve">The reliability window characterized </w:t>
      </w:r>
    </w:p>
    <w:p w14:paraId="5F212DF6" w14:textId="75E17727" w:rsidR="00C3641E" w:rsidRPr="00C3641E" w:rsidRDefault="00C3641E" w:rsidP="00C3641E">
      <w:pPr>
        <w:pStyle w:val="ListParagraph"/>
        <w:numPr>
          <w:ilvl w:val="0"/>
          <w:numId w:val="3"/>
        </w:numPr>
        <w:rPr>
          <w:sz w:val="40"/>
          <w:szCs w:val="40"/>
        </w:rPr>
      </w:pPr>
      <w:r>
        <w:t>Exploratory LMC analysis as a secondary, non-required track</w:t>
      </w:r>
    </w:p>
    <w:sectPr w:rsidR="00C3641E" w:rsidRPr="00C3641E" w:rsidSect="006918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EE63BF"/>
    <w:multiLevelType w:val="hybridMultilevel"/>
    <w:tmpl w:val="96667318"/>
    <w:lvl w:ilvl="0" w:tplc="6980AE9E">
      <w:start w:val="3"/>
      <w:numFmt w:val="bullet"/>
      <w:lvlText w:val="-"/>
      <w:lvlJc w:val="left"/>
      <w:pPr>
        <w:ind w:left="720" w:hanging="360"/>
      </w:pPr>
      <w:rPr>
        <w:rFonts w:ascii="Aptos" w:eastAsiaTheme="minorHAnsi" w:hAnsi="Aptos"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EB4C8D"/>
    <w:multiLevelType w:val="hybridMultilevel"/>
    <w:tmpl w:val="FEFCC1F2"/>
    <w:lvl w:ilvl="0" w:tplc="2F229454">
      <w:start w:val="3"/>
      <w:numFmt w:val="bullet"/>
      <w:lvlText w:val="-"/>
      <w:lvlJc w:val="left"/>
      <w:pPr>
        <w:ind w:left="720" w:hanging="360"/>
      </w:pPr>
      <w:rPr>
        <w:rFonts w:ascii="Aptos" w:eastAsiaTheme="minorHAnsi" w:hAnsi="Aptos"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2A4C7C"/>
    <w:multiLevelType w:val="hybridMultilevel"/>
    <w:tmpl w:val="87681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7839072">
    <w:abstractNumId w:val="2"/>
  </w:num>
  <w:num w:numId="2" w16cid:durableId="732123001">
    <w:abstractNumId w:val="1"/>
  </w:num>
  <w:num w:numId="3" w16cid:durableId="1706063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BB2"/>
    <w:rsid w:val="00087985"/>
    <w:rsid w:val="000929F4"/>
    <w:rsid w:val="00156213"/>
    <w:rsid w:val="001F4BB2"/>
    <w:rsid w:val="00220C27"/>
    <w:rsid w:val="002778B2"/>
    <w:rsid w:val="002C3A73"/>
    <w:rsid w:val="002E3978"/>
    <w:rsid w:val="00435B0E"/>
    <w:rsid w:val="0056505F"/>
    <w:rsid w:val="00585A6A"/>
    <w:rsid w:val="005B5D11"/>
    <w:rsid w:val="00633999"/>
    <w:rsid w:val="006918A5"/>
    <w:rsid w:val="00804C5E"/>
    <w:rsid w:val="00807716"/>
    <w:rsid w:val="00C3641E"/>
    <w:rsid w:val="00C60245"/>
    <w:rsid w:val="00D21668"/>
    <w:rsid w:val="00D21BCD"/>
    <w:rsid w:val="00F46815"/>
    <w:rsid w:val="00F76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1E69"/>
  <w15:chartTrackingRefBased/>
  <w15:docId w15:val="{EB47E89D-F723-044F-AD4C-42E27BA43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B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4B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B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B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4B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4B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4B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4B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4B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B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4B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B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B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B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B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B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B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BB2"/>
    <w:rPr>
      <w:rFonts w:eastAsiaTheme="majorEastAsia" w:cstheme="majorBidi"/>
      <w:color w:val="272727" w:themeColor="text1" w:themeTint="D8"/>
    </w:rPr>
  </w:style>
  <w:style w:type="paragraph" w:styleId="Title">
    <w:name w:val="Title"/>
    <w:basedOn w:val="Normal"/>
    <w:next w:val="Normal"/>
    <w:link w:val="TitleChar"/>
    <w:uiPriority w:val="10"/>
    <w:qFormat/>
    <w:rsid w:val="001F4B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B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B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B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BB2"/>
    <w:pPr>
      <w:spacing w:before="160"/>
      <w:jc w:val="center"/>
    </w:pPr>
    <w:rPr>
      <w:i/>
      <w:iCs/>
      <w:color w:val="404040" w:themeColor="text1" w:themeTint="BF"/>
    </w:rPr>
  </w:style>
  <w:style w:type="character" w:customStyle="1" w:styleId="QuoteChar">
    <w:name w:val="Quote Char"/>
    <w:basedOn w:val="DefaultParagraphFont"/>
    <w:link w:val="Quote"/>
    <w:uiPriority w:val="29"/>
    <w:rsid w:val="001F4BB2"/>
    <w:rPr>
      <w:i/>
      <w:iCs/>
      <w:color w:val="404040" w:themeColor="text1" w:themeTint="BF"/>
    </w:rPr>
  </w:style>
  <w:style w:type="paragraph" w:styleId="ListParagraph">
    <w:name w:val="List Paragraph"/>
    <w:basedOn w:val="Normal"/>
    <w:uiPriority w:val="34"/>
    <w:qFormat/>
    <w:rsid w:val="001F4BB2"/>
    <w:pPr>
      <w:ind w:left="720"/>
      <w:contextualSpacing/>
    </w:pPr>
  </w:style>
  <w:style w:type="character" w:styleId="IntenseEmphasis">
    <w:name w:val="Intense Emphasis"/>
    <w:basedOn w:val="DefaultParagraphFont"/>
    <w:uiPriority w:val="21"/>
    <w:qFormat/>
    <w:rsid w:val="001F4BB2"/>
    <w:rPr>
      <w:i/>
      <w:iCs/>
      <w:color w:val="0F4761" w:themeColor="accent1" w:themeShade="BF"/>
    </w:rPr>
  </w:style>
  <w:style w:type="paragraph" w:styleId="IntenseQuote">
    <w:name w:val="Intense Quote"/>
    <w:basedOn w:val="Normal"/>
    <w:next w:val="Normal"/>
    <w:link w:val="IntenseQuoteChar"/>
    <w:uiPriority w:val="30"/>
    <w:qFormat/>
    <w:rsid w:val="001F4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4BB2"/>
    <w:rPr>
      <w:i/>
      <w:iCs/>
      <w:color w:val="0F4761" w:themeColor="accent1" w:themeShade="BF"/>
    </w:rPr>
  </w:style>
  <w:style w:type="character" w:styleId="IntenseReference">
    <w:name w:val="Intense Reference"/>
    <w:basedOn w:val="DefaultParagraphFont"/>
    <w:uiPriority w:val="32"/>
    <w:qFormat/>
    <w:rsid w:val="001F4B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Domi</dc:creator>
  <cp:keywords/>
  <dc:description/>
  <cp:lastModifiedBy>Ronald Domi</cp:lastModifiedBy>
  <cp:revision>9</cp:revision>
  <dcterms:created xsi:type="dcterms:W3CDTF">2026-07-20T08:11:00Z</dcterms:created>
  <dcterms:modified xsi:type="dcterms:W3CDTF">2026-07-20T12:03:00Z</dcterms:modified>
</cp:coreProperties>
</file>